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0"/>
        <w:jc w:val="left"/>
        <w:textAlignment w:val="auto"/>
        <w:rPr>
          <w:rFonts w:hint="default" w:ascii="方正小标宋简体" w:eastAsia="方正小标宋简体"/>
          <w:sz w:val="28"/>
          <w:szCs w:val="16"/>
          <w:lang w:val="en-US" w:eastAsia="zh-CN"/>
        </w:rPr>
      </w:pPr>
      <w:r>
        <w:rPr>
          <w:rFonts w:hint="eastAsia" w:ascii="方正小标宋简体" w:eastAsia="方正小标宋简体"/>
          <w:sz w:val="28"/>
          <w:szCs w:val="16"/>
          <w:lang w:val="en-US" w:eastAsia="zh-CN"/>
        </w:rPr>
        <w:t>附件1：</w:t>
      </w:r>
    </w:p>
    <w:p>
      <w:pPr>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0"/>
        <w:jc w:val="center"/>
        <w:textAlignment w:val="auto"/>
        <w:rPr>
          <w:rFonts w:hint="eastAsia" w:ascii="方正小标宋简体" w:eastAsia="方正小标宋简体"/>
          <w:sz w:val="40"/>
          <w:szCs w:val="21"/>
        </w:rPr>
      </w:pPr>
      <w:r>
        <w:rPr>
          <w:rFonts w:hint="eastAsia" w:ascii="方正小标宋简体" w:eastAsia="方正小标宋简体"/>
          <w:sz w:val="40"/>
          <w:szCs w:val="21"/>
        </w:rPr>
        <w:t>安徽信息工程学院</w:t>
      </w:r>
      <w:r>
        <w:rPr>
          <w:rFonts w:hint="eastAsia" w:ascii="方正小标宋简体" w:eastAsia="方正小标宋简体"/>
          <w:sz w:val="40"/>
          <w:szCs w:val="21"/>
          <w:lang w:val="en-US" w:eastAsia="zh-CN"/>
        </w:rPr>
        <w:t>课程育人</w:t>
      </w:r>
      <w:r>
        <w:rPr>
          <w:rFonts w:hint="eastAsia" w:ascii="方正小标宋简体" w:eastAsia="方正小标宋简体"/>
          <w:sz w:val="40"/>
          <w:szCs w:val="21"/>
        </w:rPr>
        <w:t>实施方案</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0"/>
        <w:textAlignment w:val="auto"/>
        <w:rPr>
          <w:rFonts w:hint="eastAsia" w:ascii="黑体" w:eastAsia="黑体"/>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0" w:firstLineChars="200"/>
        <w:textAlignment w:val="auto"/>
        <w:rPr>
          <w:rFonts w:hint="default" w:ascii="黑体" w:eastAsia="黑体"/>
          <w:lang w:val="en-US" w:eastAsia="zh-CN"/>
        </w:rPr>
      </w:pPr>
      <w:r>
        <w:rPr>
          <w:rFonts w:hint="eastAsia" w:ascii="黑体" w:eastAsia="黑体"/>
          <w:lang w:val="en-US" w:eastAsia="zh-CN"/>
        </w:rPr>
        <w:t>一、目标任务</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textAlignment w:val="auto"/>
        <w:rPr>
          <w:rFonts w:hint="eastAsia"/>
          <w:spacing w:val="-1"/>
          <w:lang w:eastAsia="zh-CN"/>
        </w:rPr>
      </w:pPr>
      <w:r>
        <w:rPr>
          <w:rFonts w:hint="eastAsia"/>
          <w:spacing w:val="-1"/>
        </w:rPr>
        <w:t>深入学习贯彻全国高校思想政治工作会议精神，推动实施高校思想政治工作质量提升工程</w:t>
      </w:r>
      <w:r>
        <w:rPr>
          <w:rFonts w:hint="eastAsia"/>
          <w:spacing w:val="-1"/>
          <w:lang w:eastAsia="zh-CN"/>
        </w:rPr>
        <w:t>，充分发挥课堂主渠道在学校思想政治教育中的作用，推进学校课程思政建设工作深入开展，促进思想政治教育贯穿人才培养体系，推进课程思政教育教学体系建设，提高人才培养质量。</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0" w:firstLineChars="200"/>
        <w:textAlignment w:val="auto"/>
        <w:rPr>
          <w:rFonts w:hint="default" w:ascii="黑体" w:eastAsia="黑体"/>
          <w:lang w:val="en-US" w:eastAsia="zh-CN"/>
        </w:rPr>
      </w:pPr>
      <w:r>
        <w:rPr>
          <w:rFonts w:hint="eastAsia" w:ascii="黑体" w:eastAsia="黑体"/>
          <w:lang w:val="en-US" w:eastAsia="zh-CN"/>
        </w:rPr>
        <w:t>二</w:t>
      </w:r>
      <w:r>
        <w:rPr>
          <w:rFonts w:hint="eastAsia" w:ascii="黑体" w:eastAsia="黑体"/>
        </w:rPr>
        <w:t>、</w:t>
      </w:r>
      <w:r>
        <w:rPr>
          <w:rFonts w:hint="eastAsia" w:ascii="黑体" w:eastAsia="黑体"/>
          <w:lang w:val="en-US" w:eastAsia="zh-CN"/>
        </w:rPr>
        <w:t>主要措施</w:t>
      </w:r>
    </w:p>
    <w:p>
      <w:pPr>
        <w:pStyle w:val="2"/>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3" w:firstLineChars="200"/>
        <w:textAlignment w:val="auto"/>
      </w:pPr>
      <w:r>
        <w:t>（一）瞄准学情、生本教学，实施</w:t>
      </w:r>
      <w:r>
        <w:rPr>
          <w:rFonts w:hint="eastAsia"/>
          <w:lang w:val="en-US" w:eastAsia="zh-CN"/>
        </w:rPr>
        <w:t>思政</w:t>
      </w:r>
      <w:r>
        <w:t>课程理论教学改革</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pPr>
      <w:r>
        <w:rPr>
          <w:spacing w:val="13"/>
          <w:w w:val="95"/>
        </w:rPr>
        <w:t>以培养应用型本科院校学生必须具备的基本素质为目</w:t>
      </w:r>
      <w:r>
        <w:rPr>
          <w:spacing w:val="-1"/>
          <w:w w:val="95"/>
        </w:rPr>
        <w:t>标，根据“基本”、“管用”的原则细致分析学情，对《思</w:t>
      </w:r>
      <w:r>
        <w:rPr>
          <w:spacing w:val="-4"/>
          <w:w w:val="95"/>
        </w:rPr>
        <w:t>想道德修养与法律基础》、《中国近现代史纲要》、《马克</w:t>
      </w:r>
      <w:r>
        <w:rPr>
          <w:spacing w:val="-6"/>
        </w:rPr>
        <w:t>思主义基本原理概论》、《毛泽东思想和中国特色社会主义</w:t>
      </w:r>
      <w:r>
        <w:rPr>
          <w:spacing w:val="-6"/>
          <w:w w:val="95"/>
        </w:rPr>
        <w:t>理论体系概论》、《形势与政策》等课程的内容进行“精心</w:t>
      </w:r>
      <w:r>
        <w:rPr>
          <w:spacing w:val="-4"/>
        </w:rPr>
        <w:t>厘定、增添有用”，设计教学模块。遵循教育教学规律和学</w:t>
      </w:r>
      <w:r>
        <w:rPr>
          <w:spacing w:val="-5"/>
          <w:w w:val="95"/>
        </w:rPr>
        <w:t>生学习特点，贯彻“以学生为中心”的教学理念，打破教师“满堂灌”、“一言堂”的格局，运用启发式、探究式、参</w:t>
      </w:r>
      <w:r>
        <w:rPr>
          <w:spacing w:val="-5"/>
        </w:rPr>
        <w:t>与式、情景式等教学方法，构建以学生为主体、教师为主导的课堂教学活动模式。</w:t>
      </w:r>
    </w:p>
    <w:p>
      <w:pPr>
        <w:pStyle w:val="2"/>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3" w:firstLineChars="200"/>
        <w:textAlignment w:val="auto"/>
      </w:pPr>
      <w:r>
        <w:t>（二）贴紧跟进、学思学行，突出</w:t>
      </w:r>
      <w:r>
        <w:rPr>
          <w:rFonts w:hint="eastAsia"/>
          <w:lang w:val="en-US" w:eastAsia="zh-CN"/>
        </w:rPr>
        <w:t>思政</w:t>
      </w:r>
      <w:r>
        <w:t>课程实践教学特质</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jc w:val="both"/>
        <w:textAlignment w:val="auto"/>
      </w:pPr>
      <w:r>
        <w:rPr>
          <w:spacing w:val="-1"/>
        </w:rPr>
        <w:t>实践教学是思政课教学体系的重要组成部分，是实现思</w:t>
      </w:r>
      <w:r>
        <w:rPr>
          <w:spacing w:val="-3"/>
        </w:rPr>
        <w:t>政课育人目标的重要环节。为进一步加深学生对马克思主义</w:t>
      </w:r>
      <w:r>
        <w:rPr>
          <w:spacing w:val="-5"/>
        </w:rPr>
        <w:t>基本理论的理解，将所学理论知识内化为理想和信念，进而</w:t>
      </w:r>
      <w:r>
        <w:rPr>
          <w:spacing w:val="-16"/>
        </w:rPr>
        <w:t>转化为实际行动，实现思政课从“知识教育”向“知行合一”</w:t>
      </w:r>
      <w:r>
        <w:rPr>
          <w:spacing w:val="-2"/>
        </w:rPr>
        <w:t>的行动教学转变，思政课改革要贴紧学生的思想实际和学生</w:t>
      </w:r>
      <w:r>
        <w:rPr>
          <w:spacing w:val="-14"/>
          <w:w w:val="95"/>
        </w:rPr>
        <w:t>基本素养的要求，跟进学校对学生进行教育、管理的各环节，</w:t>
      </w:r>
      <w:r>
        <w:rPr>
          <w:spacing w:val="-14"/>
        </w:rPr>
        <w:t>融入学生校内外的各项实践活动，引导学生“学有所思，学有所行”。</w:t>
      </w:r>
    </w:p>
    <w:p>
      <w:pPr>
        <w:pStyle w:val="2"/>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3" w:firstLineChars="200"/>
        <w:textAlignment w:val="auto"/>
      </w:pPr>
      <w:r>
        <w:t>（三）时空延展、追踪考核，巩固</w:t>
      </w:r>
      <w:r>
        <w:rPr>
          <w:rFonts w:hint="eastAsia"/>
          <w:lang w:val="en-US" w:eastAsia="zh-CN"/>
        </w:rPr>
        <w:t>思政</w:t>
      </w:r>
      <w:r>
        <w:t>课程教育教学成效</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0" w:firstLineChars="200"/>
        <w:jc w:val="both"/>
        <w:textAlignment w:val="auto"/>
      </w:pPr>
      <w:r>
        <w:t>打破思政课一纸闭卷的考核方式，采取多元化的动态过程考核。除了在校期间的课内与课外考核，也利用寒暑假，有效延展教学的时间和空间，并通过</w:t>
      </w:r>
      <w:bookmarkStart w:id="0" w:name="_GoBack"/>
      <w:bookmarkEnd w:id="0"/>
      <w:r>
        <w:t>建立“全程动态”考核体系，将思政课考核贯穿于学生在校学习的全过程，多维度地设立考核学生思政课课业成绩的立面，联手党团组织、辅导员、管理人员等多方教育管理力量，实施学生的思想政治表现和素质状况的评价考核。变思政课单一静态的试卷考核为多元动态的全面考核，努力解决成绩评定与学生日常表现相脱节的状况，实现思政课考核与学生思想品德考评的有机结合。</w:t>
      </w:r>
    </w:p>
    <w:p>
      <w:pPr>
        <w:pStyle w:val="2"/>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3" w:firstLineChars="200"/>
        <w:textAlignment w:val="auto"/>
      </w:pPr>
      <w:r>
        <w:t>（</w:t>
      </w:r>
      <w:r>
        <w:rPr>
          <w:rFonts w:hint="eastAsia"/>
          <w:lang w:val="en-US" w:eastAsia="zh-CN"/>
        </w:rPr>
        <w:t>四</w:t>
      </w:r>
      <w:r>
        <w:t>）</w:t>
      </w:r>
      <w:r>
        <w:rPr>
          <w:rFonts w:hint="eastAsia"/>
          <w:lang w:val="en-US" w:eastAsia="zh-CN"/>
        </w:rPr>
        <w:t>专业育人、分</w:t>
      </w:r>
      <w:r>
        <w:rPr>
          <w:rFonts w:hint="eastAsia"/>
        </w:rPr>
        <w:t>类推进</w:t>
      </w:r>
      <w:r>
        <w:rPr>
          <w:rFonts w:hint="eastAsia"/>
          <w:lang w:eastAsia="zh-CN"/>
        </w:rPr>
        <w:t>，</w:t>
      </w:r>
      <w:r>
        <w:rPr>
          <w:rFonts w:hint="eastAsia"/>
          <w:lang w:val="en-US" w:eastAsia="zh-CN"/>
        </w:rPr>
        <w:t>全面启动</w:t>
      </w:r>
      <w:r>
        <w:rPr>
          <w:rFonts w:hint="eastAsia"/>
        </w:rPr>
        <w:t>专业课程思政建设</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jc w:val="both"/>
        <w:textAlignment w:val="auto"/>
        <w:rPr>
          <w:rFonts w:hint="eastAsia"/>
          <w:lang w:val="en-US" w:eastAsia="zh-CN"/>
        </w:rPr>
      </w:pPr>
      <w:r>
        <w:rPr>
          <w:rFonts w:hint="eastAsia"/>
          <w:lang w:val="en-US" w:eastAsia="zh-CN"/>
        </w:rPr>
        <w:t>将专业课程作为课程思政建设的基本载体，结合不同课程特点、思维方法和价值理念，以一流课程建设为抓手，分类推进专业课程思政建设工作。文学类专业课程在课程教学中注重帮助学生掌握马克思主义世界观和方法论，从历史与现实、理论与实践等维度深刻理解习近平新时代中国特色社会主义思想，结合专业知识教育引导学生深刻理解社会主义核心价值观，自觉弘扬中华优秀传统文化、革命文化、社会主义先进文化。经管类专业课程在课程教学中注重坚持以马克思主义为指导，帮助学生了解相关专业和行业领域的国家战略、法律法规和相关政策，引导学生深入社会实践、关注现实问题，培育学生经世济民、诚信服务、德法兼修的职业素养。工学类专业课程在课程教学中注重把马克思主义立场观点方法的教育与科学精神的培养结合起来，提高学生正确认识问题、分析问题和解决问题的能力，强化学生工程伦理教育，培养学生精益求精的大国工匠精神，激发学生科技报国的家国情怀和使命担当。艺术类专业课程在课程教学中注重教育引导学生立足时代、扎根人民、深入生活，树立正确的艺术观和创作观，坚持以美育人、以美化人，积极弘扬中华美育精神，引导学生自觉传承和弘扬中华优秀传统文化，全面提高学生的审美和人文素养，增强文化自信。</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0" w:firstLineChars="200"/>
        <w:textAlignment w:val="auto"/>
        <w:rPr>
          <w:rFonts w:hint="default" w:ascii="黑体" w:eastAsia="黑体"/>
          <w:lang w:val="en-US" w:eastAsia="zh-CN"/>
        </w:rPr>
      </w:pPr>
      <w:r>
        <w:rPr>
          <w:rFonts w:hint="eastAsia" w:ascii="黑体" w:eastAsia="黑体"/>
        </w:rPr>
        <w:t>三、</w:t>
      </w:r>
      <w:r>
        <w:rPr>
          <w:rFonts w:hint="eastAsia" w:ascii="黑体" w:eastAsia="黑体"/>
          <w:lang w:val="en-US" w:eastAsia="zh-CN"/>
        </w:rPr>
        <w:t>工作安排</w:t>
      </w:r>
    </w:p>
    <w:p>
      <w:pPr>
        <w:pStyle w:val="2"/>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3" w:firstLineChars="200"/>
        <w:textAlignment w:val="auto"/>
      </w:pPr>
      <w:r>
        <w:t>（一）</w:t>
      </w:r>
      <w:r>
        <w:rPr>
          <w:rFonts w:hint="eastAsia"/>
          <w:lang w:val="en-US" w:eastAsia="zh-CN"/>
        </w:rPr>
        <w:t>思政</w:t>
      </w:r>
      <w:r>
        <w:t>课程学时学分安排</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spacing w:val="-5"/>
        </w:rPr>
      </w:pPr>
      <w:r>
        <w:rPr>
          <w:spacing w:val="-5"/>
        </w:rPr>
        <w:t>本科课程设置五门必修课：</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spacing w:val="-5"/>
          <w:lang w:val="zh-CN" w:eastAsia="zh-CN"/>
        </w:rPr>
      </w:pPr>
      <w:r>
        <w:rPr>
          <w:rFonts w:hint="eastAsia"/>
          <w:spacing w:val="-5"/>
          <w:lang w:val="en-US" w:eastAsia="zh-CN"/>
        </w:rPr>
        <w:t>1.</w:t>
      </w:r>
      <w:r>
        <w:rPr>
          <w:spacing w:val="-5"/>
          <w:lang w:val="zh-CN" w:eastAsia="zh-CN"/>
        </w:rPr>
        <w:t>《思想道德修养与法律基础》（简称“基础”）3学分；</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spacing w:val="-5"/>
          <w:lang w:val="zh-CN" w:eastAsia="zh-CN"/>
        </w:rPr>
      </w:pPr>
      <w:r>
        <w:rPr>
          <w:rFonts w:hint="eastAsia"/>
          <w:spacing w:val="-5"/>
          <w:lang w:val="en-US" w:eastAsia="zh-CN"/>
        </w:rPr>
        <w:t>2.</w:t>
      </w:r>
      <w:r>
        <w:rPr>
          <w:spacing w:val="-5"/>
          <w:lang w:val="zh-CN" w:eastAsia="zh-CN"/>
        </w:rPr>
        <w:t>《中国近现代史纲要》（简称“纲要”）3学分；</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spacing w:val="-5"/>
          <w:lang w:val="zh-CN" w:eastAsia="zh-CN"/>
        </w:rPr>
      </w:pPr>
      <w:r>
        <w:rPr>
          <w:rFonts w:hint="eastAsia"/>
          <w:spacing w:val="-5"/>
          <w:lang w:val="en-US" w:eastAsia="zh-CN"/>
        </w:rPr>
        <w:t>3.</w:t>
      </w:r>
      <w:r>
        <w:rPr>
          <w:spacing w:val="-5"/>
          <w:lang w:val="zh-CN" w:eastAsia="zh-CN"/>
        </w:rPr>
        <w:t>《马克思主义基本原理概论》（简称“原理”）3学分；</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spacing w:val="-5"/>
          <w:lang w:val="zh-CN" w:eastAsia="zh-CN"/>
        </w:rPr>
      </w:pPr>
      <w:r>
        <w:rPr>
          <w:rFonts w:hint="eastAsia"/>
          <w:spacing w:val="-5"/>
          <w:lang w:val="en-US" w:eastAsia="zh-CN"/>
        </w:rPr>
        <w:t>4.</w:t>
      </w:r>
      <w:r>
        <w:rPr>
          <w:spacing w:val="-5"/>
          <w:lang w:val="zh-CN" w:eastAsia="zh-CN"/>
        </w:rPr>
        <w:t>《毛泽东思想和中国特色社会主义理论体系概论》（简称“概论”）5学分；</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spacing w:val="-5"/>
          <w:lang w:val="zh-CN" w:eastAsia="zh-CN"/>
        </w:rPr>
      </w:pPr>
      <w:r>
        <w:rPr>
          <w:rFonts w:hint="eastAsia"/>
          <w:spacing w:val="-5"/>
          <w:lang w:val="en-US" w:eastAsia="zh-CN"/>
        </w:rPr>
        <w:t>5.</w:t>
      </w:r>
      <w:r>
        <w:rPr>
          <w:spacing w:val="-5"/>
          <w:lang w:val="zh-CN" w:eastAsia="zh-CN"/>
        </w:rPr>
        <w:t>《形势与政策》2学分；</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spacing w:val="-5"/>
        </w:rPr>
      </w:pPr>
      <w:r>
        <w:rPr>
          <w:spacing w:val="-5"/>
        </w:rPr>
        <w:t>从本科思政课前四门必修课现有学分中划出2个学分，开展思政课实践教学。学生既可以通过参加教师统一组织的实践教学获得相应的学分，也可以通过提交与思政课学习相关的实践成果申请获得相应的学分。</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0"/>
        <w:jc w:val="center"/>
        <w:textAlignment w:val="auto"/>
        <w:rPr>
          <w:sz w:val="28"/>
          <w:szCs w:val="28"/>
        </w:rPr>
      </w:pPr>
      <w:r>
        <w:rPr>
          <w:sz w:val="28"/>
          <w:szCs w:val="28"/>
        </w:rPr>
        <w:t>表1：思政必修课设置一览表</w:t>
      </w:r>
    </w:p>
    <w:tbl>
      <w:tblPr>
        <w:tblStyle w:val="4"/>
        <w:tblW w:w="8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33"/>
        <w:gridCol w:w="1320"/>
        <w:gridCol w:w="840"/>
        <w:gridCol w:w="1740"/>
        <w:gridCol w:w="1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3233"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b/>
                <w:i w:val="0"/>
                <w:iCs w:val="0"/>
                <w:sz w:val="24"/>
              </w:rPr>
            </w:pPr>
            <w:r>
              <w:rPr>
                <w:b/>
                <w:i w:val="0"/>
                <w:iCs w:val="0"/>
                <w:sz w:val="24"/>
              </w:rPr>
              <w:t>课程名称</w:t>
            </w:r>
          </w:p>
        </w:tc>
        <w:tc>
          <w:tcPr>
            <w:tcW w:w="132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rFonts w:hint="eastAsia" w:eastAsia="仿宋_GB2312"/>
                <w:b/>
                <w:i w:val="0"/>
                <w:iCs w:val="0"/>
                <w:sz w:val="24"/>
                <w:lang w:val="en-US" w:eastAsia="zh-CN"/>
              </w:rPr>
            </w:pPr>
            <w:r>
              <w:rPr>
                <w:b/>
                <w:i w:val="0"/>
                <w:iCs w:val="0"/>
                <w:sz w:val="24"/>
              </w:rPr>
              <w:t>开课学</w:t>
            </w:r>
            <w:r>
              <w:rPr>
                <w:rFonts w:hint="eastAsia"/>
                <w:b/>
                <w:i w:val="0"/>
                <w:iCs w:val="0"/>
                <w:sz w:val="24"/>
                <w:lang w:val="en-US" w:eastAsia="zh-CN"/>
              </w:rPr>
              <w:t>期</w:t>
            </w:r>
          </w:p>
        </w:tc>
        <w:tc>
          <w:tcPr>
            <w:tcW w:w="8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b/>
                <w:i w:val="0"/>
                <w:iCs w:val="0"/>
                <w:sz w:val="24"/>
              </w:rPr>
            </w:pPr>
            <w:r>
              <w:rPr>
                <w:b/>
                <w:i w:val="0"/>
                <w:iCs w:val="0"/>
                <w:sz w:val="24"/>
              </w:rPr>
              <w:t>学分</w:t>
            </w:r>
          </w:p>
        </w:tc>
        <w:tc>
          <w:tcPr>
            <w:tcW w:w="17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b/>
                <w:i w:val="0"/>
                <w:iCs w:val="0"/>
                <w:sz w:val="24"/>
              </w:rPr>
            </w:pPr>
            <w:r>
              <w:rPr>
                <w:b/>
                <w:i w:val="0"/>
                <w:iCs w:val="0"/>
                <w:sz w:val="24"/>
              </w:rPr>
              <w:t>理论学时/学分</w:t>
            </w:r>
          </w:p>
        </w:tc>
        <w:tc>
          <w:tcPr>
            <w:tcW w:w="1722"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b/>
                <w:i w:val="0"/>
                <w:iCs w:val="0"/>
                <w:sz w:val="24"/>
              </w:rPr>
            </w:pPr>
            <w:r>
              <w:rPr>
                <w:b/>
                <w:i w:val="0"/>
                <w:iCs w:val="0"/>
                <w:sz w:val="24"/>
              </w:rPr>
              <w:t>实践学时/学分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3233"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思想道德修养与法律基础</w:t>
            </w:r>
          </w:p>
        </w:tc>
        <w:tc>
          <w:tcPr>
            <w:tcW w:w="132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1-1</w:t>
            </w:r>
          </w:p>
        </w:tc>
        <w:tc>
          <w:tcPr>
            <w:tcW w:w="8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3.0</w:t>
            </w:r>
          </w:p>
        </w:tc>
        <w:tc>
          <w:tcPr>
            <w:tcW w:w="17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40/2.5</w:t>
            </w:r>
          </w:p>
        </w:tc>
        <w:tc>
          <w:tcPr>
            <w:tcW w:w="1722"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16/0.5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3233"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中国近现代史纲要</w:t>
            </w:r>
          </w:p>
        </w:tc>
        <w:tc>
          <w:tcPr>
            <w:tcW w:w="132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1-2</w:t>
            </w:r>
          </w:p>
        </w:tc>
        <w:tc>
          <w:tcPr>
            <w:tcW w:w="8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3.0</w:t>
            </w:r>
          </w:p>
        </w:tc>
        <w:tc>
          <w:tcPr>
            <w:tcW w:w="17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40/2.5</w:t>
            </w:r>
          </w:p>
        </w:tc>
        <w:tc>
          <w:tcPr>
            <w:tcW w:w="1722"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16/0.5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3233"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马克思主义基本原理概论</w:t>
            </w:r>
          </w:p>
        </w:tc>
        <w:tc>
          <w:tcPr>
            <w:tcW w:w="132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2-1</w:t>
            </w:r>
          </w:p>
        </w:tc>
        <w:tc>
          <w:tcPr>
            <w:tcW w:w="8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3.0</w:t>
            </w:r>
          </w:p>
        </w:tc>
        <w:tc>
          <w:tcPr>
            <w:tcW w:w="17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40/2.5</w:t>
            </w:r>
          </w:p>
        </w:tc>
        <w:tc>
          <w:tcPr>
            <w:tcW w:w="1722"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16/0.5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3233"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毛泽东思想和中国特色社会主义理论体系概论</w:t>
            </w:r>
          </w:p>
        </w:tc>
        <w:tc>
          <w:tcPr>
            <w:tcW w:w="132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2-2</w:t>
            </w:r>
          </w:p>
        </w:tc>
        <w:tc>
          <w:tcPr>
            <w:tcW w:w="8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5.0</w:t>
            </w:r>
          </w:p>
        </w:tc>
        <w:tc>
          <w:tcPr>
            <w:tcW w:w="17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72/4.5</w:t>
            </w:r>
          </w:p>
        </w:tc>
        <w:tc>
          <w:tcPr>
            <w:tcW w:w="1722"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16/0.5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3233"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形势与政策</w:t>
            </w:r>
          </w:p>
        </w:tc>
        <w:tc>
          <w:tcPr>
            <w:tcW w:w="132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1-1、1-2</w:t>
            </w:r>
          </w:p>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2-1、2-2</w:t>
            </w:r>
          </w:p>
        </w:tc>
        <w:tc>
          <w:tcPr>
            <w:tcW w:w="8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2.0</w:t>
            </w:r>
          </w:p>
        </w:tc>
        <w:tc>
          <w:tcPr>
            <w:tcW w:w="1740"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i w:val="0"/>
                <w:iCs w:val="0"/>
                <w:sz w:val="24"/>
              </w:rPr>
            </w:pPr>
            <w:r>
              <w:rPr>
                <w:i w:val="0"/>
                <w:iCs w:val="0"/>
                <w:sz w:val="24"/>
              </w:rPr>
              <w:t>32/2.0</w:t>
            </w:r>
          </w:p>
        </w:tc>
        <w:tc>
          <w:tcPr>
            <w:tcW w:w="1722" w:type="dxa"/>
            <w:vAlign w:val="center"/>
          </w:tcPr>
          <w:p>
            <w:pPr>
              <w:pStyle w:val="8"/>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0"/>
              <w:jc w:val="center"/>
              <w:textAlignment w:val="auto"/>
              <w:rPr>
                <w:rFonts w:ascii="Times New Roman"/>
                <w:i w:val="0"/>
                <w:iCs w:val="0"/>
                <w:sz w:val="28"/>
              </w:rPr>
            </w:pPr>
          </w:p>
        </w:tc>
      </w:tr>
    </w:tbl>
    <w:p>
      <w:pPr>
        <w:pStyle w:val="2"/>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3" w:firstLineChars="200"/>
        <w:textAlignment w:val="auto"/>
        <w:rPr>
          <w:rFonts w:hint="default" w:eastAsia="楷体"/>
          <w:lang w:val="en-US" w:eastAsia="zh-CN"/>
        </w:rPr>
      </w:pPr>
      <w:r>
        <w:t>（</w:t>
      </w:r>
      <w:r>
        <w:rPr>
          <w:rFonts w:hint="eastAsia"/>
          <w:lang w:val="en-US" w:eastAsia="zh-CN"/>
        </w:rPr>
        <w:t>二</w:t>
      </w:r>
      <w:r>
        <w:t>）</w:t>
      </w:r>
      <w:r>
        <w:rPr>
          <w:rFonts w:hint="eastAsia"/>
        </w:rPr>
        <w:t>“课程思政”</w:t>
      </w:r>
      <w:r>
        <w:rPr>
          <w:rFonts w:hint="eastAsia"/>
          <w:lang w:val="en-US" w:eastAsia="zh-CN"/>
        </w:rPr>
        <w:t>工作安排</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rFonts w:hint="eastAsia"/>
          <w:spacing w:val="-5"/>
          <w:lang w:val="en-US" w:eastAsia="zh-CN"/>
        </w:rPr>
      </w:pPr>
      <w:r>
        <w:rPr>
          <w:rFonts w:hint="eastAsia"/>
          <w:spacing w:val="-5"/>
          <w:lang w:val="en-US" w:eastAsia="zh-CN"/>
        </w:rPr>
        <w:t>1.组织开展“课程思政”集体备课，召开专题研讨会并列入学期教研活动，讨论分享“课程思政”建设经验，总结课程开展的成效，推荐“课程思政”典型案例进行交流。</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rFonts w:hint="eastAsia"/>
          <w:spacing w:val="-5"/>
          <w:lang w:val="en-US" w:eastAsia="zh-CN"/>
        </w:rPr>
      </w:pPr>
      <w:r>
        <w:rPr>
          <w:rFonts w:hint="eastAsia"/>
          <w:spacing w:val="-5"/>
          <w:lang w:val="en-US" w:eastAsia="zh-CN"/>
        </w:rPr>
        <w:t>2.组织开展“课程思政”示范观摩听课活动，学院党政领导必须亲自到场听课，重点把脉课堂教学的思政元素的融入情况。</w:t>
      </w:r>
    </w:p>
    <w:p>
      <w:pPr>
        <w:pStyle w:val="3"/>
        <w:keepNext w:val="0"/>
        <w:keepLines w:val="0"/>
        <w:pageBreakBefore w:val="0"/>
        <w:widowControl w:val="0"/>
        <w:kinsoku/>
        <w:wordWrap/>
        <w:overflowPunct/>
        <w:topLinePunct w:val="0"/>
        <w:autoSpaceDE w:val="0"/>
        <w:autoSpaceDN w:val="0"/>
        <w:bidi w:val="0"/>
        <w:adjustRightInd/>
        <w:snapToGrid/>
        <w:spacing w:before="0" w:after="0" w:line="590" w:lineRule="exact"/>
        <w:ind w:left="0" w:right="0" w:firstLine="641"/>
        <w:jc w:val="both"/>
        <w:textAlignment w:val="auto"/>
        <w:rPr>
          <w:rFonts w:hint="eastAsia"/>
          <w:spacing w:val="-5"/>
          <w:lang w:val="en-US" w:eastAsia="zh-CN"/>
        </w:rPr>
      </w:pPr>
      <w:r>
        <w:rPr>
          <w:rFonts w:hint="eastAsia"/>
          <w:spacing w:val="-5"/>
          <w:lang w:val="en-US" w:eastAsia="zh-CN"/>
        </w:rPr>
        <w:t>3.加强对“课程思政”教学情况和课程质量进行检查，及时宣传表彰、督促整改，确保“课程思政”建设工作落到实处，取得成效。</w:t>
      </w:r>
    </w:p>
    <w:sectPr>
      <w:footerReference r:id="rId5" w:type="default"/>
      <w:footerReference r:id="rId6" w:type="even"/>
      <w:pgSz w:w="11910" w:h="16840"/>
      <w:pgMar w:top="1540" w:right="1380" w:bottom="1160" w:left="1680" w:header="0" w:footer="96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firstLine="0"/>
      <w:rPr>
        <w:sz w:val="20"/>
      </w:rPr>
    </w:pPr>
    <w:r>
      <w:pict>
        <v:shape id="_x0000_s4097" o:spid="_x0000_s4097" o:spt="202" type="#_x0000_t202" style="position:absolute;left:0pt;margin-left:462.05pt;margin-top:782.55pt;height:16.05pt;width:43.9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sz w:val="28"/>
                  </w:rPr>
                </w:pPr>
                <w:r>
                  <w:rPr>
                    <w:sz w:val="28"/>
                  </w:rPr>
                  <w:t xml:space="preserve">- </w:t>
                </w:r>
                <w:r>
                  <w:fldChar w:fldCharType="begin"/>
                </w:r>
                <w:r>
                  <w:rPr>
                    <w:sz w:val="28"/>
                  </w:rPr>
                  <w:instrText xml:space="preserve"> PAGE </w:instrText>
                </w:r>
                <w:r>
                  <w:fldChar w:fldCharType="separate"/>
                </w:r>
                <w:r>
                  <w:t>11</w:t>
                </w:r>
                <w:r>
                  <w:fldChar w:fldCharType="end"/>
                </w:r>
                <w:r>
                  <w:rPr>
                    <w:sz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firstLine="0"/>
      <w:rPr>
        <w:sz w:val="20"/>
      </w:rPr>
    </w:pPr>
    <w:r>
      <w:pict>
        <v:shape id="_x0000_s4098" o:spid="_x0000_s4098" o:spt="202" type="#_x0000_t202" style="position:absolute;left:0pt;margin-left:89.2pt;margin-top:782.55pt;height:16.05pt;width:44.1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sz w:val="28"/>
                  </w:rPr>
                </w:pPr>
                <w:r>
                  <w:rPr>
                    <w:sz w:val="28"/>
                  </w:rPr>
                  <w:t xml:space="preserve">- </w:t>
                </w:r>
                <w:r>
                  <w:fldChar w:fldCharType="begin"/>
                </w:r>
                <w:r>
                  <w:rPr>
                    <w:sz w:val="28"/>
                  </w:rPr>
                  <w:instrText xml:space="preserve"> PAGE </w:instrText>
                </w:r>
                <w:r>
                  <w:fldChar w:fldCharType="separate"/>
                </w:r>
                <w:r>
                  <w:t>10</w:t>
                </w:r>
                <w:r>
                  <w:fldChar w:fldCharType="end"/>
                </w:r>
                <w:r>
                  <w:rPr>
                    <w:sz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160375A"/>
    <w:rsid w:val="19C4298F"/>
    <w:rsid w:val="3E683046"/>
    <w:rsid w:val="3FC070BD"/>
    <w:rsid w:val="7F723B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spacing w:line="408" w:lineRule="exact"/>
      <w:ind w:left="600"/>
      <w:outlineLvl w:val="1"/>
    </w:pPr>
    <w:rPr>
      <w:rFonts w:ascii="楷体" w:hAnsi="楷体" w:eastAsia="楷体" w:cs="楷体"/>
      <w:b/>
      <w:bCs/>
      <w:sz w:val="32"/>
      <w:szCs w:val="32"/>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20" w:firstLine="640"/>
    </w:pPr>
    <w:rPr>
      <w:rFonts w:ascii="仿宋_GB2312" w:hAnsi="仿宋_GB2312" w:eastAsia="仿宋_GB2312" w:cs="仿宋_GB2312"/>
      <w:sz w:val="32"/>
      <w:szCs w:val="32"/>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6"/>
      <w:ind w:left="120" w:firstLine="640"/>
    </w:pPr>
    <w:rPr>
      <w:rFonts w:ascii="仿宋_GB2312" w:hAnsi="仿宋_GB2312" w:eastAsia="仿宋_GB2312" w:cs="仿宋_GB2312"/>
      <w:lang w:val="zh-CN" w:eastAsia="zh-CN" w:bidi="zh-CN"/>
    </w:rPr>
  </w:style>
  <w:style w:type="paragraph" w:customStyle="1" w:styleId="8">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ScaleCrop>false</ScaleCrop>
  <LinksUpToDate>false</LinksUpToDate>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2021-06-23T01:39:00Z</dcterms:created>
  <dc:creator>User</dc:creator>
  <cp:lastModifiedBy>程玉林</cp:lastModifiedBy>
  <dcterms:modified xsi:type="dcterms:W3CDTF">2021-06-23T03:14:58Z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2020-12-21T00:00:00Z</vt:filetime>
  </property>
  <property fmtid="{D5CDD505-2E9C-101B-9397-08002B2CF9AE}" pid="3" name="Creator">
    <vt:lpwstr>WPS 文字</vt:lpwstr>
  </property>
  <property fmtid="{D5CDD505-2E9C-101B-9397-08002B2CF9AE}" pid="4" name="LastSaved">
    <vt:filetime>2021-06-23T00:00:00Z</vt:filetime>
  </property>
  <property fmtid="{D5CDD505-2E9C-101B-9397-08002B2CF9AE}" pid="5" name="KSOProductBuildVer">
    <vt:lpwstr>2052-11.1.0.10578</vt:lpwstr>
  </property>
  <property fmtid="{D5CDD505-2E9C-101B-9397-08002B2CF9AE}" pid="6" name="ICV">
    <vt:lpwstr>3D8D4B90FF414BBDAB3F57D8B90DB5BD</vt:lpwstr>
  </property>
</Properties>
</file>